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F6E5" w14:textId="4A16500A" w:rsidR="004E02C6" w:rsidRDefault="004E02C6" w:rsidP="00C81012">
      <w:pPr>
        <w:jc w:val="center"/>
        <w:rPr>
          <w:b/>
          <w:bCs/>
        </w:rPr>
      </w:pPr>
      <w:r w:rsidRPr="004E02C6">
        <w:rPr>
          <w:b/>
          <w:bCs/>
        </w:rPr>
        <w:t xml:space="preserve">Załącznik nr </w:t>
      </w:r>
      <w:r>
        <w:rPr>
          <w:b/>
          <w:bCs/>
        </w:rPr>
        <w:t>4</w:t>
      </w:r>
      <w:r w:rsidRPr="004E02C6">
        <w:rPr>
          <w:b/>
          <w:bCs/>
        </w:rPr>
        <w:t xml:space="preserve"> do SWZ                                                                                        P –</w:t>
      </w:r>
      <w:r w:rsidR="00044788">
        <w:rPr>
          <w:b/>
          <w:bCs/>
        </w:rPr>
        <w:t xml:space="preserve">11 </w:t>
      </w:r>
      <w:r w:rsidRPr="004E02C6">
        <w:rPr>
          <w:b/>
          <w:bCs/>
        </w:rPr>
        <w:t xml:space="preserve">  / TP / 2026</w:t>
      </w:r>
    </w:p>
    <w:p w14:paraId="52BCC977" w14:textId="060C9E99" w:rsidR="004E02C6" w:rsidRPr="004E02C6" w:rsidRDefault="004E02C6" w:rsidP="00C81012">
      <w:pPr>
        <w:jc w:val="center"/>
        <w:rPr>
          <w:b/>
          <w:bCs/>
        </w:rPr>
      </w:pPr>
      <w:r w:rsidRPr="004E02C6">
        <w:rPr>
          <w:b/>
          <w:bCs/>
        </w:rPr>
        <w:t>OPIS PRZEDMIOTU ZAMÓWIENIA</w:t>
      </w:r>
    </w:p>
    <w:p w14:paraId="59F9CA2F" w14:textId="7A4F6403" w:rsidR="00C27425" w:rsidRPr="004E02C6" w:rsidRDefault="00C27425" w:rsidP="004E02C6">
      <w:pPr>
        <w:rPr>
          <w:rFonts w:ascii="Arial" w:hAnsi="Arial" w:cs="Arial"/>
          <w:b/>
          <w:bCs/>
        </w:rPr>
      </w:pPr>
      <w:r w:rsidRPr="004E02C6">
        <w:rPr>
          <w:rFonts w:ascii="Arial" w:hAnsi="Arial" w:cs="Arial"/>
          <w:b/>
          <w:bCs/>
        </w:rPr>
        <w:t>Opis techniczny – ławka parkowa typu „plantowa”</w:t>
      </w:r>
    </w:p>
    <w:p w14:paraId="2B52475F" w14:textId="77087C4C" w:rsidR="00C27425" w:rsidRPr="004E02C6" w:rsidRDefault="00C27425" w:rsidP="00C27425">
      <w:pPr>
        <w:jc w:val="both"/>
        <w:rPr>
          <w:rFonts w:ascii="Arial" w:hAnsi="Arial" w:cs="Arial"/>
        </w:rPr>
      </w:pPr>
      <w:r w:rsidRPr="004E02C6">
        <w:rPr>
          <w:rFonts w:ascii="Arial" w:hAnsi="Arial" w:cs="Arial"/>
        </w:rPr>
        <w:t>Ławka parkowa typu „plantowa”, wolnostojąca, przeznaczona do stosowania w przestrzeniach publicznych, w szczególności na terenach parków i cmentarzy.</w:t>
      </w:r>
    </w:p>
    <w:p w14:paraId="183644E7" w14:textId="307B687F" w:rsidR="00C27425" w:rsidRPr="004E02C6" w:rsidRDefault="00C27425" w:rsidP="00C25015">
      <w:pPr>
        <w:pStyle w:val="Akapitzlist"/>
        <w:numPr>
          <w:ilvl w:val="0"/>
          <w:numId w:val="3"/>
        </w:numPr>
        <w:jc w:val="both"/>
        <w:rPr>
          <w:rFonts w:ascii="Arial" w:hAnsi="Arial" w:cs="Arial"/>
        </w:rPr>
      </w:pPr>
      <w:r w:rsidRPr="004E02C6">
        <w:rPr>
          <w:rFonts w:ascii="Arial" w:hAnsi="Arial" w:cs="Arial"/>
          <w:b/>
          <w:bCs/>
        </w:rPr>
        <w:t>Konstrukcja ławki</w:t>
      </w:r>
      <w:r w:rsidRPr="004E02C6">
        <w:rPr>
          <w:rFonts w:ascii="Arial" w:hAnsi="Arial" w:cs="Arial"/>
        </w:rPr>
        <w:t xml:space="preserve"> </w:t>
      </w:r>
    </w:p>
    <w:p w14:paraId="5B4B466D" w14:textId="6DA46E60" w:rsidR="00C27425" w:rsidRPr="004E02C6" w:rsidRDefault="00C27425" w:rsidP="00C27425">
      <w:pPr>
        <w:pStyle w:val="Akapitzlist"/>
        <w:numPr>
          <w:ilvl w:val="0"/>
          <w:numId w:val="2"/>
        </w:numPr>
        <w:jc w:val="both"/>
        <w:rPr>
          <w:rFonts w:ascii="Arial" w:hAnsi="Arial" w:cs="Arial"/>
        </w:rPr>
      </w:pPr>
      <w:r w:rsidRPr="004E02C6">
        <w:rPr>
          <w:rFonts w:ascii="Arial" w:hAnsi="Arial" w:cs="Arial"/>
        </w:rPr>
        <w:t>2</w:t>
      </w:r>
      <w:r w:rsidR="00974C2A" w:rsidRPr="004E02C6">
        <w:rPr>
          <w:rFonts w:ascii="Arial" w:hAnsi="Arial" w:cs="Arial"/>
        </w:rPr>
        <w:t xml:space="preserve"> szt.</w:t>
      </w:r>
      <w:r w:rsidRPr="004E02C6">
        <w:rPr>
          <w:rFonts w:ascii="Arial" w:hAnsi="Arial" w:cs="Arial"/>
        </w:rPr>
        <w:t xml:space="preserve"> bocznych odlewów żeliwnych stanowiących element nośny,</w:t>
      </w:r>
    </w:p>
    <w:p w14:paraId="4E017F7B" w14:textId="3E7F6F4D" w:rsidR="00C27425" w:rsidRPr="004E02C6" w:rsidRDefault="00C27425" w:rsidP="00C27425">
      <w:pPr>
        <w:pStyle w:val="Akapitzlist"/>
        <w:numPr>
          <w:ilvl w:val="0"/>
          <w:numId w:val="2"/>
        </w:numPr>
        <w:jc w:val="both"/>
        <w:rPr>
          <w:rFonts w:ascii="Arial" w:hAnsi="Arial" w:cs="Arial"/>
        </w:rPr>
      </w:pPr>
      <w:r w:rsidRPr="004E02C6">
        <w:rPr>
          <w:rFonts w:ascii="Arial" w:hAnsi="Arial" w:cs="Arial"/>
        </w:rPr>
        <w:t xml:space="preserve">3 </w:t>
      </w:r>
      <w:r w:rsidR="00974C2A" w:rsidRPr="004E02C6">
        <w:rPr>
          <w:rFonts w:ascii="Arial" w:hAnsi="Arial" w:cs="Arial"/>
        </w:rPr>
        <w:t xml:space="preserve">szt. </w:t>
      </w:r>
      <w:r w:rsidRPr="004E02C6">
        <w:rPr>
          <w:rFonts w:ascii="Arial" w:hAnsi="Arial" w:cs="Arial"/>
        </w:rPr>
        <w:t>desek siedziska o wymiarach 17 × 4,5 × 180 cm,</w:t>
      </w:r>
    </w:p>
    <w:p w14:paraId="12C4B960" w14:textId="71B29C3F" w:rsidR="00286FAC" w:rsidRPr="004E02C6" w:rsidRDefault="00C27425" w:rsidP="00C27425">
      <w:pPr>
        <w:pStyle w:val="Akapitzlist"/>
        <w:numPr>
          <w:ilvl w:val="0"/>
          <w:numId w:val="2"/>
        </w:numPr>
        <w:jc w:val="both"/>
        <w:rPr>
          <w:rFonts w:ascii="Arial" w:hAnsi="Arial" w:cs="Arial"/>
        </w:rPr>
      </w:pPr>
      <w:r w:rsidRPr="004E02C6">
        <w:rPr>
          <w:rFonts w:ascii="Arial" w:hAnsi="Arial" w:cs="Arial"/>
        </w:rPr>
        <w:t xml:space="preserve">1 </w:t>
      </w:r>
      <w:r w:rsidR="00974C2A" w:rsidRPr="004E02C6">
        <w:rPr>
          <w:rFonts w:ascii="Arial" w:hAnsi="Arial" w:cs="Arial"/>
        </w:rPr>
        <w:t xml:space="preserve">szt. </w:t>
      </w:r>
      <w:r w:rsidRPr="004E02C6">
        <w:rPr>
          <w:rFonts w:ascii="Arial" w:hAnsi="Arial" w:cs="Arial"/>
        </w:rPr>
        <w:t>deski oparcia o wymiarach 12 × 4,5 × 180 cm.</w:t>
      </w:r>
    </w:p>
    <w:p w14:paraId="7A22A326" w14:textId="77777777" w:rsidR="00286FAC" w:rsidRPr="004E02C6" w:rsidRDefault="00286FAC" w:rsidP="00286FAC">
      <w:pPr>
        <w:pStyle w:val="Akapitzlist"/>
        <w:jc w:val="both"/>
        <w:rPr>
          <w:rFonts w:ascii="Arial" w:hAnsi="Arial" w:cs="Arial"/>
        </w:rPr>
      </w:pPr>
    </w:p>
    <w:p w14:paraId="472A6FC1" w14:textId="63ED3706" w:rsidR="00C27425" w:rsidRPr="004E02C6" w:rsidRDefault="00C27425" w:rsidP="00286FAC">
      <w:pPr>
        <w:pStyle w:val="Akapitzlist"/>
        <w:jc w:val="both"/>
        <w:rPr>
          <w:rFonts w:ascii="Arial" w:hAnsi="Arial" w:cs="Arial"/>
        </w:rPr>
      </w:pPr>
      <w:r w:rsidRPr="004E02C6">
        <w:rPr>
          <w:rFonts w:ascii="Arial" w:hAnsi="Arial" w:cs="Arial"/>
        </w:rPr>
        <w:t>Długość całkowita ławki: 180 cm.</w:t>
      </w:r>
    </w:p>
    <w:p w14:paraId="4DCC3520" w14:textId="73694053" w:rsidR="00916744" w:rsidRPr="004E02C6" w:rsidRDefault="00916744" w:rsidP="00286FAC">
      <w:pPr>
        <w:pStyle w:val="Akapitzlist"/>
        <w:jc w:val="both"/>
        <w:rPr>
          <w:rFonts w:ascii="Arial" w:hAnsi="Arial" w:cs="Arial"/>
        </w:rPr>
      </w:pPr>
      <w:r w:rsidRPr="004E02C6">
        <w:rPr>
          <w:rFonts w:ascii="Arial" w:hAnsi="Arial" w:cs="Arial"/>
        </w:rPr>
        <w:t>Szerokość całkowita ławki: 70 cm.</w:t>
      </w:r>
    </w:p>
    <w:p w14:paraId="48EFC460" w14:textId="77777777" w:rsidR="00286FAC" w:rsidRPr="004E02C6" w:rsidRDefault="00286FAC" w:rsidP="00286FAC">
      <w:pPr>
        <w:pStyle w:val="Akapitzlist"/>
        <w:jc w:val="both"/>
        <w:rPr>
          <w:rFonts w:ascii="Arial" w:hAnsi="Arial" w:cs="Arial"/>
        </w:rPr>
      </w:pPr>
    </w:p>
    <w:p w14:paraId="3D5A6827" w14:textId="77777777" w:rsidR="00C25015" w:rsidRPr="004E02C6" w:rsidRDefault="00C27425" w:rsidP="00C27425">
      <w:pPr>
        <w:pStyle w:val="Akapitzlist"/>
        <w:numPr>
          <w:ilvl w:val="0"/>
          <w:numId w:val="3"/>
        </w:numPr>
        <w:jc w:val="both"/>
        <w:rPr>
          <w:rFonts w:ascii="Arial" w:hAnsi="Arial" w:cs="Arial"/>
        </w:rPr>
      </w:pPr>
      <w:r w:rsidRPr="004E02C6">
        <w:rPr>
          <w:rFonts w:ascii="Arial" w:hAnsi="Arial" w:cs="Arial"/>
          <w:b/>
          <w:bCs/>
        </w:rPr>
        <w:t>Elementy drewniane</w:t>
      </w:r>
      <w:r w:rsidRPr="004E02C6">
        <w:rPr>
          <w:rFonts w:ascii="Arial" w:hAnsi="Arial" w:cs="Arial"/>
        </w:rPr>
        <w:t xml:space="preserve"> </w:t>
      </w:r>
    </w:p>
    <w:p w14:paraId="2CDE9155" w14:textId="43BB2FA8" w:rsidR="00C25015" w:rsidRPr="004E02C6" w:rsidRDefault="00C25015" w:rsidP="00C25015">
      <w:pPr>
        <w:pStyle w:val="Akapitzlist"/>
        <w:jc w:val="both"/>
        <w:rPr>
          <w:rFonts w:ascii="Arial" w:hAnsi="Arial" w:cs="Arial"/>
        </w:rPr>
      </w:pPr>
      <w:r w:rsidRPr="004E02C6">
        <w:rPr>
          <w:rFonts w:ascii="Arial" w:hAnsi="Arial" w:cs="Arial"/>
        </w:rPr>
        <w:t xml:space="preserve">Siedzisko i oparcie </w:t>
      </w:r>
      <w:r w:rsidR="00C27425" w:rsidRPr="004E02C6">
        <w:rPr>
          <w:rFonts w:ascii="Arial" w:hAnsi="Arial" w:cs="Arial"/>
        </w:rPr>
        <w:t>wykon</w:t>
      </w:r>
      <w:r w:rsidRPr="004E02C6">
        <w:rPr>
          <w:rFonts w:ascii="Arial" w:hAnsi="Arial" w:cs="Arial"/>
        </w:rPr>
        <w:t>ane</w:t>
      </w:r>
      <w:r w:rsidR="00C27425" w:rsidRPr="004E02C6">
        <w:rPr>
          <w:rFonts w:ascii="Arial" w:hAnsi="Arial" w:cs="Arial"/>
        </w:rPr>
        <w:t xml:space="preserve"> z drewna świerkowego, sezonowanego, o wilgotności około 15%. Drewno: świerkowe, szlifowane i frezowane, bez wad technicznych i produkcyjnych, bez pęknięć, sinizny, zgnilizny oraz uszkodzeń mechanicznych, impregnowane.</w:t>
      </w:r>
    </w:p>
    <w:p w14:paraId="74F03955" w14:textId="77777777" w:rsidR="00C25015" w:rsidRPr="004E02C6" w:rsidRDefault="00C27425" w:rsidP="00C25015">
      <w:pPr>
        <w:pStyle w:val="Akapitzlist"/>
        <w:jc w:val="both"/>
        <w:rPr>
          <w:rFonts w:ascii="Arial" w:hAnsi="Arial" w:cs="Arial"/>
        </w:rPr>
      </w:pPr>
      <w:r w:rsidRPr="004E02C6">
        <w:rPr>
          <w:rFonts w:ascii="Arial" w:hAnsi="Arial" w:cs="Arial"/>
        </w:rPr>
        <w:t>Powierzchnie drewniane malowane natryskowo, minimum dwukrotnie, farbą kryjącą, nietransparentną, do zastosowań zewnętrznych, zapewniającą pełne krycie powierzchni drewna, w kolorze RAL 6009.</w:t>
      </w:r>
    </w:p>
    <w:p w14:paraId="36D8DC86" w14:textId="3ED45CBA" w:rsidR="00C25015" w:rsidRPr="004E02C6" w:rsidRDefault="00C25015" w:rsidP="00C25015">
      <w:pPr>
        <w:pStyle w:val="Akapitzlist"/>
        <w:jc w:val="both"/>
        <w:rPr>
          <w:rFonts w:ascii="Arial" w:hAnsi="Arial" w:cs="Arial"/>
        </w:rPr>
      </w:pPr>
      <w:r w:rsidRPr="004E02C6">
        <w:rPr>
          <w:rFonts w:ascii="Arial" w:hAnsi="Arial" w:cs="Arial"/>
        </w:rPr>
        <w:t>Montaż desek do konstrukcji żeliwnej za pomocą śrub nierdzewnych z nakrętkami. Każda deska mocowana przy użyciu 4 śrub. Połączenia trwałe, estetyczne oraz zapewniające stabilność konstrukcji.</w:t>
      </w:r>
    </w:p>
    <w:p w14:paraId="5730918E" w14:textId="77777777" w:rsidR="002C6EB0" w:rsidRPr="004E02C6" w:rsidRDefault="00C27425" w:rsidP="00C27425">
      <w:pPr>
        <w:pStyle w:val="Akapitzlist"/>
        <w:numPr>
          <w:ilvl w:val="0"/>
          <w:numId w:val="3"/>
        </w:numPr>
        <w:jc w:val="both"/>
        <w:rPr>
          <w:rFonts w:ascii="Arial" w:hAnsi="Arial" w:cs="Arial"/>
        </w:rPr>
      </w:pPr>
      <w:r w:rsidRPr="004E02C6">
        <w:rPr>
          <w:rFonts w:ascii="Arial" w:hAnsi="Arial" w:cs="Arial"/>
          <w:b/>
          <w:bCs/>
        </w:rPr>
        <w:t>Elementy żeliwne</w:t>
      </w:r>
    </w:p>
    <w:p w14:paraId="644FF5CA" w14:textId="76C3F8E6" w:rsidR="00C27425" w:rsidRPr="004E02C6" w:rsidRDefault="00C27425" w:rsidP="002C6EB0">
      <w:pPr>
        <w:pStyle w:val="Akapitzlist"/>
        <w:jc w:val="both"/>
        <w:rPr>
          <w:rFonts w:ascii="Arial" w:hAnsi="Arial" w:cs="Arial"/>
        </w:rPr>
      </w:pPr>
      <w:r w:rsidRPr="004E02C6">
        <w:rPr>
          <w:rFonts w:ascii="Arial" w:hAnsi="Arial" w:cs="Arial"/>
        </w:rPr>
        <w:t>Elementy konstrukcyjne wykonane z odlewów żeliwnych malowanych w kolorze RAL 6009.</w:t>
      </w:r>
    </w:p>
    <w:p w14:paraId="2D29D819" w14:textId="77777777" w:rsidR="002C6EB0" w:rsidRPr="004E02C6" w:rsidRDefault="00C27425" w:rsidP="00C27425">
      <w:pPr>
        <w:pStyle w:val="Akapitzlist"/>
        <w:numPr>
          <w:ilvl w:val="0"/>
          <w:numId w:val="3"/>
        </w:numPr>
        <w:jc w:val="both"/>
        <w:rPr>
          <w:rFonts w:ascii="Arial" w:hAnsi="Arial" w:cs="Arial"/>
        </w:rPr>
      </w:pPr>
      <w:r w:rsidRPr="004E02C6">
        <w:rPr>
          <w:rFonts w:ascii="Arial" w:hAnsi="Arial" w:cs="Arial"/>
          <w:b/>
          <w:bCs/>
        </w:rPr>
        <w:t>Wymagania jakościowe</w:t>
      </w:r>
    </w:p>
    <w:p w14:paraId="18D2D21D" w14:textId="4EE88DDF" w:rsidR="001C1F2E" w:rsidRDefault="00C27425" w:rsidP="002C6EB0">
      <w:pPr>
        <w:pStyle w:val="Akapitzlist"/>
        <w:jc w:val="both"/>
        <w:rPr>
          <w:rFonts w:ascii="Arial" w:hAnsi="Arial" w:cs="Arial"/>
        </w:rPr>
      </w:pPr>
      <w:r w:rsidRPr="004E02C6">
        <w:rPr>
          <w:rFonts w:ascii="Arial" w:hAnsi="Arial" w:cs="Arial"/>
        </w:rPr>
        <w:t>Ławka powinna być fabrycznie nowa, kompletna oraz wolna od wad materiałowych i</w:t>
      </w:r>
      <w:r w:rsidR="00120AE2" w:rsidRPr="004E02C6">
        <w:rPr>
          <w:rFonts w:ascii="Arial" w:hAnsi="Arial" w:cs="Arial"/>
        </w:rPr>
        <w:t> </w:t>
      </w:r>
      <w:r w:rsidRPr="004E02C6">
        <w:rPr>
          <w:rFonts w:ascii="Arial" w:hAnsi="Arial" w:cs="Arial"/>
        </w:rPr>
        <w:t>wykonawczych. Wszystkie krawędzie elementów drewnianych powinny być zaokrąglone i</w:t>
      </w:r>
      <w:r w:rsidR="00120AE2" w:rsidRPr="004E02C6">
        <w:rPr>
          <w:rFonts w:ascii="Arial" w:hAnsi="Arial" w:cs="Arial"/>
        </w:rPr>
        <w:t> </w:t>
      </w:r>
      <w:r w:rsidRPr="004E02C6">
        <w:rPr>
          <w:rFonts w:ascii="Arial" w:hAnsi="Arial" w:cs="Arial"/>
        </w:rPr>
        <w:t>bezpieczne dla użytkowników.</w:t>
      </w:r>
    </w:p>
    <w:p w14:paraId="358EDF21" w14:textId="77777777" w:rsidR="004E02C6" w:rsidRDefault="004E02C6" w:rsidP="002C6EB0">
      <w:pPr>
        <w:pStyle w:val="Akapitzlist"/>
        <w:jc w:val="both"/>
        <w:rPr>
          <w:rFonts w:ascii="Arial" w:hAnsi="Arial" w:cs="Arial"/>
        </w:rPr>
      </w:pPr>
    </w:p>
    <w:p w14:paraId="7DFCE807" w14:textId="62B03B80" w:rsidR="004E02C6" w:rsidRDefault="004E02C6" w:rsidP="004E02C6">
      <w:pPr>
        <w:rPr>
          <w:rFonts w:ascii="Arial" w:hAnsi="Arial" w:cs="Arial"/>
          <w:b/>
          <w:bCs/>
        </w:rPr>
      </w:pPr>
      <w:r w:rsidRPr="004E02C6">
        <w:rPr>
          <w:rFonts w:ascii="Arial" w:hAnsi="Arial" w:cs="Arial"/>
          <w:b/>
          <w:bCs/>
        </w:rPr>
        <w:t>Warunki gwarancji</w:t>
      </w:r>
    </w:p>
    <w:p w14:paraId="1922F3E1" w14:textId="77777777" w:rsidR="004E02C6" w:rsidRPr="004E02C6" w:rsidRDefault="004E02C6" w:rsidP="004E02C6">
      <w:pPr>
        <w:pStyle w:val="Akapitzlist"/>
        <w:numPr>
          <w:ilvl w:val="0"/>
          <w:numId w:val="4"/>
        </w:numPr>
        <w:rPr>
          <w:rFonts w:ascii="Arial" w:hAnsi="Arial" w:cs="Arial"/>
        </w:rPr>
      </w:pPr>
      <w:r w:rsidRPr="004E02C6">
        <w:rPr>
          <w:rFonts w:ascii="Arial" w:hAnsi="Arial" w:cs="Arial"/>
        </w:rPr>
        <w:t>W wypadku ujawnienia wad w okresie gwarancyjnym Wykonawca zobowiązuje się do</w:t>
      </w:r>
    </w:p>
    <w:p w14:paraId="6CF2ADCA" w14:textId="77777777" w:rsidR="004E02C6" w:rsidRPr="004E02C6" w:rsidRDefault="004E02C6" w:rsidP="004E02C6">
      <w:pPr>
        <w:pStyle w:val="Akapitzlist"/>
        <w:rPr>
          <w:rFonts w:ascii="Arial" w:hAnsi="Arial" w:cs="Arial"/>
        </w:rPr>
      </w:pPr>
      <w:r w:rsidRPr="004E02C6">
        <w:rPr>
          <w:rFonts w:ascii="Arial" w:hAnsi="Arial" w:cs="Arial"/>
        </w:rPr>
        <w:t>wykonania na swój koszt i ryzyko naprawy lub wymiany wadliwych ławek na nowe,</w:t>
      </w:r>
    </w:p>
    <w:p w14:paraId="35022149" w14:textId="77777777" w:rsidR="004E02C6" w:rsidRPr="004E02C6" w:rsidRDefault="004E02C6" w:rsidP="004E02C6">
      <w:pPr>
        <w:pStyle w:val="Akapitzlist"/>
        <w:rPr>
          <w:rFonts w:ascii="Arial" w:hAnsi="Arial" w:cs="Arial"/>
        </w:rPr>
      </w:pPr>
      <w:r w:rsidRPr="004E02C6">
        <w:rPr>
          <w:rFonts w:ascii="Arial" w:hAnsi="Arial" w:cs="Arial"/>
        </w:rPr>
        <w:t>pozbawione wad w terminie ustalonym każdorazowo między Zamawiającym a</w:t>
      </w:r>
    </w:p>
    <w:p w14:paraId="46E71295" w14:textId="2B389CF6" w:rsidR="004E02C6" w:rsidRPr="004E02C6" w:rsidRDefault="004E02C6" w:rsidP="004E02C6">
      <w:pPr>
        <w:pStyle w:val="Akapitzlist"/>
        <w:rPr>
          <w:rFonts w:ascii="Arial" w:hAnsi="Arial" w:cs="Arial"/>
        </w:rPr>
      </w:pPr>
      <w:r w:rsidRPr="004E02C6">
        <w:rPr>
          <w:rFonts w:ascii="Arial" w:hAnsi="Arial" w:cs="Arial"/>
        </w:rPr>
        <w:t>Wykonawcą w oparciu o realny czas konieczny na wykonanie naprawy lub wymiany ławki,</w:t>
      </w:r>
      <w:r>
        <w:rPr>
          <w:rFonts w:ascii="Arial" w:hAnsi="Arial" w:cs="Arial"/>
        </w:rPr>
        <w:t xml:space="preserve"> </w:t>
      </w:r>
      <w:r w:rsidRPr="004E02C6">
        <w:rPr>
          <w:rFonts w:ascii="Arial" w:hAnsi="Arial" w:cs="Arial"/>
        </w:rPr>
        <w:t>jednak nie dłuższym niż 14 dni roboczych od zgłoszenia wady przez Zamawiającego.</w:t>
      </w:r>
    </w:p>
    <w:p w14:paraId="56EE00E1" w14:textId="4C9BD41A" w:rsidR="004E02C6" w:rsidRDefault="004E02C6" w:rsidP="004E02C6">
      <w:pPr>
        <w:pStyle w:val="Akapitzlist"/>
        <w:numPr>
          <w:ilvl w:val="0"/>
          <w:numId w:val="4"/>
        </w:numPr>
        <w:rPr>
          <w:rFonts w:ascii="Arial" w:hAnsi="Arial" w:cs="Arial"/>
        </w:rPr>
      </w:pPr>
      <w:r w:rsidRPr="004E02C6">
        <w:rPr>
          <w:rFonts w:ascii="Arial" w:hAnsi="Arial" w:cs="Arial"/>
        </w:rPr>
        <w:t>Wady powodujące niestabilność, mobilność oraz uszkodzenia mechaniczne, pęknięcia,</w:t>
      </w:r>
      <w:r>
        <w:rPr>
          <w:rFonts w:ascii="Arial" w:hAnsi="Arial" w:cs="Arial"/>
        </w:rPr>
        <w:t xml:space="preserve"> </w:t>
      </w:r>
      <w:r w:rsidRPr="004E02C6">
        <w:rPr>
          <w:rFonts w:ascii="Arial" w:hAnsi="Arial" w:cs="Arial"/>
        </w:rPr>
        <w:t>rdzewienie, odbarwienia oraz inne rodzaje uszkodzeń mechanicznych, niewynikające z</w:t>
      </w:r>
      <w:r>
        <w:rPr>
          <w:rFonts w:ascii="Arial" w:hAnsi="Arial" w:cs="Arial"/>
        </w:rPr>
        <w:t xml:space="preserve"> </w:t>
      </w:r>
      <w:r w:rsidRPr="004E02C6">
        <w:rPr>
          <w:rFonts w:ascii="Arial" w:hAnsi="Arial" w:cs="Arial"/>
        </w:rPr>
        <w:t>ingerencji zewnętrznej (np. akty wandalizmu), podlegają uwzględnieniu w ramach</w:t>
      </w:r>
      <w:r>
        <w:rPr>
          <w:rFonts w:ascii="Arial" w:hAnsi="Arial" w:cs="Arial"/>
        </w:rPr>
        <w:t xml:space="preserve"> </w:t>
      </w:r>
      <w:r w:rsidRPr="004E02C6">
        <w:rPr>
          <w:rFonts w:ascii="Arial" w:hAnsi="Arial" w:cs="Arial"/>
        </w:rPr>
        <w:t>gwarancji.</w:t>
      </w:r>
    </w:p>
    <w:p w14:paraId="3C8EC572" w14:textId="73AE22F9" w:rsidR="00597FE4" w:rsidRDefault="00597FE4" w:rsidP="00597FE4">
      <w:pPr>
        <w:pStyle w:val="Akapitzlist"/>
        <w:numPr>
          <w:ilvl w:val="0"/>
          <w:numId w:val="4"/>
        </w:numPr>
        <w:rPr>
          <w:rFonts w:ascii="Arial" w:hAnsi="Arial" w:cs="Arial"/>
        </w:rPr>
      </w:pPr>
      <w:r w:rsidRPr="00597FE4">
        <w:rPr>
          <w:rFonts w:ascii="Arial" w:hAnsi="Arial" w:cs="Arial"/>
        </w:rPr>
        <w:lastRenderedPageBreak/>
        <w:t>W trakcie trwania gwarancji, wszystkie elementy zniszczone przez zgniliznę lub grzyby niszczące zostaną bezpłatnie wymienione na takie same produkty.</w:t>
      </w:r>
    </w:p>
    <w:p w14:paraId="1B506234" w14:textId="77777777" w:rsidR="00CC54D5" w:rsidRDefault="00CC54D5" w:rsidP="00CC54D5">
      <w:pPr>
        <w:rPr>
          <w:rFonts w:ascii="Arial" w:hAnsi="Arial" w:cs="Arial"/>
        </w:rPr>
      </w:pPr>
    </w:p>
    <w:p w14:paraId="5DBB831B" w14:textId="77777777" w:rsidR="00CC54D5" w:rsidRPr="00CC54D5" w:rsidRDefault="00CC54D5" w:rsidP="00CC54D5">
      <w:pPr>
        <w:rPr>
          <w:rFonts w:ascii="Arial" w:hAnsi="Arial" w:cs="Arial"/>
          <w:b/>
          <w:bCs/>
        </w:rPr>
      </w:pPr>
      <w:r w:rsidRPr="00CC54D5">
        <w:rPr>
          <w:rFonts w:ascii="Arial" w:hAnsi="Arial" w:cs="Arial"/>
          <w:b/>
          <w:bCs/>
        </w:rPr>
        <w:t>Sposób realizacji</w:t>
      </w:r>
    </w:p>
    <w:p w14:paraId="7DA18BDB" w14:textId="77777777" w:rsidR="00CC54D5" w:rsidRPr="00CC54D5" w:rsidRDefault="00CC54D5" w:rsidP="00CC54D5">
      <w:pPr>
        <w:pStyle w:val="Akapitzlist"/>
        <w:numPr>
          <w:ilvl w:val="0"/>
          <w:numId w:val="5"/>
        </w:numPr>
        <w:rPr>
          <w:rFonts w:ascii="Arial" w:hAnsi="Arial" w:cs="Arial"/>
        </w:rPr>
      </w:pPr>
      <w:r w:rsidRPr="00CC54D5">
        <w:rPr>
          <w:rFonts w:ascii="Arial" w:hAnsi="Arial" w:cs="Arial"/>
        </w:rPr>
        <w:t>Zamawiający przewiduje realizację dostawy w minimum dwóch dostawach obejmujących każda 44 ławki. Natomiast dopuszczalne jest zwiększenie ilości dostaw obejmujących mniejsze ilości ławek po dokonaniu ustaleń obu stron umowy. Każda dostawa winna się zakończyć podpisaniem protokołu odbioru. Ustalenia zakresu i ilości dostaw dokonywane będą za pośrednictwem poczty elektronicznej przy użyciu wskazanych adresów e- mail w treści umowy.</w:t>
      </w:r>
    </w:p>
    <w:p w14:paraId="397F43B9" w14:textId="77777777" w:rsidR="00CC54D5" w:rsidRPr="00CC54D5" w:rsidRDefault="00CC54D5" w:rsidP="00CC54D5">
      <w:pPr>
        <w:pStyle w:val="Akapitzlist"/>
        <w:numPr>
          <w:ilvl w:val="0"/>
          <w:numId w:val="5"/>
        </w:numPr>
        <w:rPr>
          <w:rFonts w:ascii="Arial" w:hAnsi="Arial" w:cs="Arial"/>
        </w:rPr>
      </w:pPr>
      <w:r w:rsidRPr="00CC54D5">
        <w:rPr>
          <w:rFonts w:ascii="Arial" w:hAnsi="Arial" w:cs="Arial"/>
        </w:rPr>
        <w:t>Po wezwaniu do dostawy Wykonawca ma obowiązek dostarczyć przedmiot wezwania (zamówioną ilość ławek) w terminie do 4 dni od dnia otrzymania informacji o zamówieniu przesłanej na wskazany przez Wykonawcę adres e-mail.</w:t>
      </w:r>
    </w:p>
    <w:p w14:paraId="6255F116" w14:textId="77777777" w:rsidR="00CC54D5" w:rsidRPr="00CC54D5" w:rsidRDefault="00CC54D5" w:rsidP="00CC54D5">
      <w:pPr>
        <w:pStyle w:val="Akapitzlist"/>
        <w:numPr>
          <w:ilvl w:val="0"/>
          <w:numId w:val="5"/>
        </w:numPr>
        <w:rPr>
          <w:rFonts w:ascii="Arial" w:hAnsi="Arial" w:cs="Arial"/>
        </w:rPr>
      </w:pPr>
      <w:r w:rsidRPr="00CC54D5">
        <w:rPr>
          <w:rFonts w:ascii="Arial" w:hAnsi="Arial" w:cs="Arial"/>
        </w:rPr>
        <w:t xml:space="preserve">Wykonawca dostarczy przedmiot umowy we wskazane przez Zmawiającego miejsce. </w:t>
      </w:r>
    </w:p>
    <w:p w14:paraId="2AA7C1DF" w14:textId="160ED3E1" w:rsidR="00CC54D5" w:rsidRPr="00CC54D5" w:rsidRDefault="00CC54D5" w:rsidP="00CC54D5">
      <w:pPr>
        <w:pStyle w:val="Akapitzlist"/>
        <w:numPr>
          <w:ilvl w:val="0"/>
          <w:numId w:val="5"/>
        </w:numPr>
        <w:rPr>
          <w:rFonts w:ascii="Arial" w:hAnsi="Arial" w:cs="Arial"/>
        </w:rPr>
      </w:pPr>
      <w:r w:rsidRPr="00CC54D5">
        <w:rPr>
          <w:rFonts w:ascii="Arial" w:hAnsi="Arial" w:cs="Arial"/>
        </w:rPr>
        <w:t>Po dostarczeniu przedmiotu zamówienia każdorazowo zostanie sporządzony protokół odbioru, który będzie stanowił podstawę wystawieni faktury za daną część zamówienia.</w:t>
      </w:r>
    </w:p>
    <w:sectPr w:rsidR="00CC54D5" w:rsidRPr="00CC54D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F62C" w14:textId="77777777" w:rsidR="00C11A2E" w:rsidRDefault="00C11A2E" w:rsidP="004E02C6">
      <w:pPr>
        <w:spacing w:after="0" w:line="240" w:lineRule="auto"/>
      </w:pPr>
      <w:r>
        <w:separator/>
      </w:r>
    </w:p>
  </w:endnote>
  <w:endnote w:type="continuationSeparator" w:id="0">
    <w:p w14:paraId="4090CEC7" w14:textId="77777777" w:rsidR="00C11A2E" w:rsidRDefault="00C11A2E" w:rsidP="004E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DCB8" w14:textId="77777777" w:rsidR="00C11A2E" w:rsidRDefault="00C11A2E" w:rsidP="004E02C6">
      <w:pPr>
        <w:spacing w:after="0" w:line="240" w:lineRule="auto"/>
      </w:pPr>
      <w:r>
        <w:separator/>
      </w:r>
    </w:p>
  </w:footnote>
  <w:footnote w:type="continuationSeparator" w:id="0">
    <w:p w14:paraId="1A49D054" w14:textId="77777777" w:rsidR="00C11A2E" w:rsidRDefault="00C11A2E" w:rsidP="004E0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B512" w14:textId="0C696D07" w:rsidR="004E02C6" w:rsidRDefault="004E02C6">
    <w:pPr>
      <w:pStyle w:val="Nagwek"/>
    </w:pPr>
    <w:r>
      <w:rPr>
        <w:noProof/>
      </w:rPr>
      <w:drawing>
        <wp:inline distT="0" distB="0" distL="0" distR="0" wp14:anchorId="7E365152" wp14:editId="019A02C8">
          <wp:extent cx="2255520" cy="951230"/>
          <wp:effectExtent l="0" t="0" r="0" b="1270"/>
          <wp:docPr id="20280869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5520" cy="9512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73A"/>
    <w:multiLevelType w:val="hybridMultilevel"/>
    <w:tmpl w:val="937095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0A59B5"/>
    <w:multiLevelType w:val="hybridMultilevel"/>
    <w:tmpl w:val="A064A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493D20"/>
    <w:multiLevelType w:val="hybridMultilevel"/>
    <w:tmpl w:val="59AEEF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266D2"/>
    <w:multiLevelType w:val="hybridMultilevel"/>
    <w:tmpl w:val="269C70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3E6CBE"/>
    <w:multiLevelType w:val="hybridMultilevel"/>
    <w:tmpl w:val="A0F2EFE4"/>
    <w:lvl w:ilvl="0" w:tplc="D17E681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8410031">
    <w:abstractNumId w:val="3"/>
  </w:num>
  <w:num w:numId="2" w16cid:durableId="636378016">
    <w:abstractNumId w:val="0"/>
  </w:num>
  <w:num w:numId="3" w16cid:durableId="538250352">
    <w:abstractNumId w:val="4"/>
  </w:num>
  <w:num w:numId="4" w16cid:durableId="626593873">
    <w:abstractNumId w:val="2"/>
  </w:num>
  <w:num w:numId="5" w16cid:durableId="194202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425"/>
    <w:rsid w:val="00044788"/>
    <w:rsid w:val="00120AE2"/>
    <w:rsid w:val="001C1F2E"/>
    <w:rsid w:val="00286FAC"/>
    <w:rsid w:val="002C6EB0"/>
    <w:rsid w:val="003112AE"/>
    <w:rsid w:val="00341034"/>
    <w:rsid w:val="0048585D"/>
    <w:rsid w:val="004E02C6"/>
    <w:rsid w:val="004F7239"/>
    <w:rsid w:val="00563EA0"/>
    <w:rsid w:val="00576EBE"/>
    <w:rsid w:val="00597FE4"/>
    <w:rsid w:val="006C2958"/>
    <w:rsid w:val="00796DC3"/>
    <w:rsid w:val="0083638A"/>
    <w:rsid w:val="00916744"/>
    <w:rsid w:val="00974C2A"/>
    <w:rsid w:val="009C6AC5"/>
    <w:rsid w:val="00A84D91"/>
    <w:rsid w:val="00B44022"/>
    <w:rsid w:val="00C11A2E"/>
    <w:rsid w:val="00C25015"/>
    <w:rsid w:val="00C27425"/>
    <w:rsid w:val="00C81012"/>
    <w:rsid w:val="00CC54D5"/>
    <w:rsid w:val="00D5407B"/>
    <w:rsid w:val="00DB28C3"/>
    <w:rsid w:val="00E82DE2"/>
    <w:rsid w:val="00EC69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D5F68"/>
  <w15:chartTrackingRefBased/>
  <w15:docId w15:val="{53B33D43-CA0C-42E7-8113-872E27FF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274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274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2742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2742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2742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2742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2742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2742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2742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2742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2742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2742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2742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2742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274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274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274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27425"/>
    <w:rPr>
      <w:rFonts w:eastAsiaTheme="majorEastAsia" w:cstheme="majorBidi"/>
      <w:color w:val="272727" w:themeColor="text1" w:themeTint="D8"/>
    </w:rPr>
  </w:style>
  <w:style w:type="paragraph" w:styleId="Tytu">
    <w:name w:val="Title"/>
    <w:basedOn w:val="Normalny"/>
    <w:next w:val="Normalny"/>
    <w:link w:val="TytuZnak"/>
    <w:uiPriority w:val="10"/>
    <w:qFormat/>
    <w:rsid w:val="00C27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274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274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274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27425"/>
    <w:pPr>
      <w:spacing w:before="160"/>
      <w:jc w:val="center"/>
    </w:pPr>
    <w:rPr>
      <w:i/>
      <w:iCs/>
      <w:color w:val="404040" w:themeColor="text1" w:themeTint="BF"/>
    </w:rPr>
  </w:style>
  <w:style w:type="character" w:customStyle="1" w:styleId="CytatZnak">
    <w:name w:val="Cytat Znak"/>
    <w:basedOn w:val="Domylnaczcionkaakapitu"/>
    <w:link w:val="Cytat"/>
    <w:uiPriority w:val="29"/>
    <w:rsid w:val="00C27425"/>
    <w:rPr>
      <w:i/>
      <w:iCs/>
      <w:color w:val="404040" w:themeColor="text1" w:themeTint="BF"/>
    </w:rPr>
  </w:style>
  <w:style w:type="paragraph" w:styleId="Akapitzlist">
    <w:name w:val="List Paragraph"/>
    <w:basedOn w:val="Normalny"/>
    <w:uiPriority w:val="34"/>
    <w:qFormat/>
    <w:rsid w:val="00C27425"/>
    <w:pPr>
      <w:ind w:left="720"/>
      <w:contextualSpacing/>
    </w:pPr>
  </w:style>
  <w:style w:type="character" w:styleId="Wyrnienieintensywne">
    <w:name w:val="Intense Emphasis"/>
    <w:basedOn w:val="Domylnaczcionkaakapitu"/>
    <w:uiPriority w:val="21"/>
    <w:qFormat/>
    <w:rsid w:val="00C27425"/>
    <w:rPr>
      <w:i/>
      <w:iCs/>
      <w:color w:val="2F5496" w:themeColor="accent1" w:themeShade="BF"/>
    </w:rPr>
  </w:style>
  <w:style w:type="paragraph" w:styleId="Cytatintensywny">
    <w:name w:val="Intense Quote"/>
    <w:basedOn w:val="Normalny"/>
    <w:next w:val="Normalny"/>
    <w:link w:val="CytatintensywnyZnak"/>
    <w:uiPriority w:val="30"/>
    <w:qFormat/>
    <w:rsid w:val="00C274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27425"/>
    <w:rPr>
      <w:i/>
      <w:iCs/>
      <w:color w:val="2F5496" w:themeColor="accent1" w:themeShade="BF"/>
    </w:rPr>
  </w:style>
  <w:style w:type="character" w:styleId="Odwoanieintensywne">
    <w:name w:val="Intense Reference"/>
    <w:basedOn w:val="Domylnaczcionkaakapitu"/>
    <w:uiPriority w:val="32"/>
    <w:qFormat/>
    <w:rsid w:val="00C27425"/>
    <w:rPr>
      <w:b/>
      <w:bCs/>
      <w:smallCaps/>
      <w:color w:val="2F5496" w:themeColor="accent1" w:themeShade="BF"/>
      <w:spacing w:val="5"/>
    </w:rPr>
  </w:style>
  <w:style w:type="paragraph" w:styleId="Nagwek">
    <w:name w:val="header"/>
    <w:basedOn w:val="Normalny"/>
    <w:link w:val="NagwekZnak"/>
    <w:uiPriority w:val="99"/>
    <w:unhideWhenUsed/>
    <w:rsid w:val="004E02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02C6"/>
  </w:style>
  <w:style w:type="paragraph" w:styleId="Stopka">
    <w:name w:val="footer"/>
    <w:basedOn w:val="Normalny"/>
    <w:link w:val="StopkaZnak"/>
    <w:uiPriority w:val="99"/>
    <w:unhideWhenUsed/>
    <w:rsid w:val="004E02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0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2825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Wojciech Skomorucha</cp:lastModifiedBy>
  <cp:revision>2</cp:revision>
  <dcterms:created xsi:type="dcterms:W3CDTF">2026-08-10T09:46:00Z</dcterms:created>
  <dcterms:modified xsi:type="dcterms:W3CDTF">2026-08-10T09:46:00Z</dcterms:modified>
</cp:coreProperties>
</file>